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a="http://schemas.openxmlformats.org/drawingml/2006/main" xmlns:pic="http://schemas.openxmlformats.org/drawingml/2006/picture" mc:Ignorable="w14 wp14">
  <w:body>
    <w:p>
      <w:pPr>
        <w:pStyle w:val="Title"/>
      </w:pPr>
      <w:r>
        <w:rPr>
          <w:b/>
        </w:rPr>
        <w:t xml:space="preserve">MEMORIU GENERAL</w:t>
      </w:r>
    </w:p>
    <w:p>
      <w:pPr>
        <w:pStyle w:val="Subtitle"/>
      </w:pPr>
      <w:r>
        <w:rPr>
          <w:b/>
        </w:rPr>
        <w:t xml:space="preserve">CONSTRUIRE CASA UNIFAMILIALA P+M, IMPREJMUIRE TEREN, RACORDURI SI BRANSAMENTE</w:t>
      </w:r>
    </w:p>
    <w:p>
      <w:pPr>
        <w:spacing w:after="120"/>
      </w:pP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2340"/>
        <w:gridCol w:w="3510"/>
        <w:gridCol w:w="3510"/>
      </w:tblGrid>
      <w:tr>
        <w:tc>
          <w:tcPr>
            <w:tcW w:w="2340" w:type="dxa"/>
            <w:shd w:fill="2E74B5"/>
          </w:tcPr>
          <w:p>
            <w:pPr>
              <w:pStyle w:val="TableText"/>
            </w:pPr>
            <w:r>
              <w:rPr>
                <w:b/>
                <w:color w:val="FFFFFF"/>
              </w:rPr>
              <w:t xml:space="preserve">PROIECT</w:t>
            </w:r>
          </w:p>
        </w:tc>
        <w:tc>
          <w:tcPr>
            <w:tcW w:w="7020" w:type="dxa"/>
            <w:gridSpan w:val="2"/>
            <w:shd w:fill="2E74B5"/>
          </w:tcPr>
          <w:p>
            <w:pPr>
              <w:pStyle w:val="TableText"/>
            </w:pPr>
            <w:r>
              <w:rPr>
                <w:color w:val="FFFFFF"/>
              </w:rPr>
              <w:t xml:space="preserve">CONSTRUIRE CASA UNIFAMILIALA P+M, IMPREJMUIRE TEREN, RACORDURI SI BRANSAMENTE</w:t>
            </w:r>
          </w:p>
        </w:tc>
      </w:tr>
      <w:tr>
        <w:tc>
          <w:tcPr>
            <w:tcW w:w="2340" w:type="dxa"/>
            <w:shd w:fill="F2F4F7"/>
          </w:tcPr>
          <w:p>
            <w:pPr>
              <w:pStyle w:val="TableText"/>
            </w:pPr>
            <w:r>
              <w:rPr>
                <w:b/>
              </w:rPr>
              <w:t xml:space="preserve">AMPLASAMENT</w:t>
            </w:r>
          </w:p>
        </w:tc>
        <w:tc>
          <w:tcPr>
            <w:tcW w:w="7020" w:type="dxa"/>
            <w:gridSpan w:val="2"/>
          </w:tcPr>
          <w:p>
            <w:pPr>
              <w:pStyle w:val="TableText"/>
            </w:pPr>
            <w:r>
              <w:rPr/>
              <w:t xml:space="preserve">Intravilan, Loc. Vâlcele, Jud. Cluj, Com. Feleacu</w:t>
            </w:r>
          </w:p>
        </w:tc>
      </w:tr>
      <w:tr>
        <w:tc>
          <w:tcPr>
            <w:tcW w:w="2340" w:type="dxa"/>
            <w:shd w:fill="F2F4F7"/>
          </w:tcPr>
          <w:p>
            <w:pPr>
              <w:pStyle w:val="TableText"/>
            </w:pPr>
            <w:r>
              <w:rPr>
                <w:b/>
              </w:rPr>
              <w:t xml:space="preserve">CARTE FUNCIARA</w:t>
            </w:r>
          </w:p>
        </w:tc>
        <w:tc>
          <w:tcPr>
            <w:tcW w:w="7020" w:type="dxa"/>
            <w:gridSpan w:val="2"/>
          </w:tcPr>
          <w:p>
            <w:pPr>
              <w:pStyle w:val="TableText"/>
            </w:pPr>
            <w:r>
              <w:rPr/>
              <w:t xml:space="preserve">CF Nr: 63141</w:t>
            </w:r>
          </w:p>
        </w:tc>
      </w:tr>
      <w:tr>
        <w:tc>
          <w:tcPr>
            <w:tcW w:w="2340" w:type="dxa"/>
            <w:shd w:fill="F2F4F7"/>
          </w:tcPr>
          <w:p>
            <w:pPr>
              <w:pStyle w:val="TableText"/>
            </w:pPr>
            <w:r>
              <w:rPr>
                <w:b/>
              </w:rPr>
              <w:t xml:space="preserve">BENEFICIAR</w:t>
            </w:r>
          </w:p>
        </w:tc>
        <w:tc>
          <w:tcPr>
            <w:tcW w:w="7020" w:type="dxa"/>
            <w:gridSpan w:val="2"/>
          </w:tcPr>
          <w:p>
            <w:pPr>
              <w:pStyle w:val="TableText"/>
            </w:pPr>
            <w:r>
              <w:rPr/>
              <w:t xml:space="preserve">Moldovan Liviu</w:t>
            </w:r>
          </w:p>
        </w:tc>
      </w:tr>
      <w:tr>
        <w:tc>
          <w:tcPr>
            <w:tcW w:w="2340" w:type="dxa"/>
            <w:shd w:fill="F2F4F7"/>
          </w:tcPr>
          <w:p>
            <w:pPr>
              <w:pStyle w:val="TableText"/>
            </w:pPr>
            <w:r>
              <w:rPr>
                <w:b/>
              </w:rPr>
              <w:t xml:space="preserve">FAZA / NR. PROIECT</w:t>
            </w:r>
          </w:p>
        </w:tc>
        <w:tc>
          <w:tcPr>
            <w:tcW w:w="7020" w:type="dxa"/>
            <w:gridSpan w:val="2"/>
          </w:tcPr>
          <w:p>
            <w:pPr>
              <w:pStyle w:val="TableText"/>
            </w:pPr>
            <w:r>
              <w:rPr/>
              <w:t xml:space="preserve">D.T.A.C / 2/2026</w:t>
            </w:r>
          </w:p>
        </w:tc>
      </w:tr>
      <w:tr>
        <w:tc>
          <w:tcPr>
            <w:tcW w:w="2340" w:type="dxa"/>
            <w:shd w:fill="F2F4F7"/>
          </w:tcPr>
          <w:p>
            <w:pPr>
              <w:pStyle w:val="TableText"/>
            </w:pPr>
            <w:r>
              <w:rPr>
                <w:b/>
              </w:rPr>
              <w:t xml:space="preserve">PROIECTANT GENERAL</w:t>
            </w:r>
          </w:p>
        </w:tc>
        <w:tc>
          <w:tcPr>
            <w:tcW w:w="7020" w:type="dxa"/>
            <w:gridSpan w:val="2"/>
          </w:tcPr>
          <w:p>
            <w:pPr>
              <w:pStyle w:val="TableText"/>
            </w:pPr>
            <w:r>
              <w:rPr/>
              <w:t xml:space="preserve">S.C. HAPPY HOME CORPORATION S.R.L.
CUI RO47403018, J04/20/2023, Nicolae Balcescu, str. Pacii, nr. 23, jud. Bacau</w:t>
            </w:r>
          </w:p>
        </w:tc>
      </w:tr>
      <w:tr>
        <w:tc>
          <w:tcPr>
            <w:tcW w:w="2340" w:type="dxa"/>
            <w:shd w:fill="F2F4F7"/>
          </w:tcPr>
          <w:p>
            <w:pPr>
              <w:pStyle w:val="TableText"/>
            </w:pPr>
            <w:r>
              <w:rPr>
                <w:b/>
              </w:rPr>
              <w:t xml:space="preserve">SEF PROIECT</w:t>
            </w:r>
          </w:p>
        </w:tc>
        <w:tc>
          <w:tcPr>
            <w:tcW w:w="7020" w:type="dxa"/>
            <w:gridSpan w:val="2"/>
          </w:tcPr>
          <w:p>
            <w:pPr>
              <w:pStyle w:val="TableText"/>
            </w:pPr>
            <w:r>
              <w:rPr/>
              <w:t xml:space="preserve">C. Arh. Panaitescu Alexandru</w:t>
            </w:r>
          </w:p>
        </w:tc>
      </w:tr>
    </w:tbl>
    <w:p>
      <w:pPr>
        <w:spacing w:after="120"/>
      </w:pPr>
    </w:p>
    <w:p>
      <w:pPr>
        <w:pStyle w:val="Caption"/>
      </w:pPr>
      <w:r>
        <w:rPr/>
        <w:t xml:space="preserve">Documentatie tehnica pentru faza D.T.A.C</w:t>
      </w:r>
    </w:p>
    <w:p>
      <w:r>
        <w:br w:type="page"/>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6500"/>
        <w:gridCol w:w="2860"/>
      </w:tblGrid>
      <w:tr>
        <w:tc>
          <w:tcPr>
            <w:tcW w:w="6500" w:type="dxa"/>
            <w:shd w:fill="2E74B5"/>
          </w:tcPr>
          <w:p>
            <w:pPr>
              <w:pStyle w:val="TableText"/>
            </w:pPr>
            <w:r>
              <w:rPr>
                <w:b/>
                <w:color w:val="FFFFFF"/>
              </w:rPr>
              <w:t xml:space="preserve">MEMORIU GENERAL</w:t>
            </w:r>
          </w:p>
        </w:tc>
        <w:tc>
          <w:tcPr>
            <w:tcW w:w="2860" w:type="dxa"/>
            <w:shd w:fill="2E74B5"/>
          </w:tcPr>
          <w:p>
            <w:pPr>
              <w:pStyle w:val="TableText"/>
            </w:pPr>
            <w:r>
              <w:rPr>
                <w:b/>
                <w:color w:val="FFFFFF"/>
              </w:rPr>
              <w:t xml:space="preserve">PROIECT 2/2026</w:t>
            </w:r>
          </w:p>
        </w:tc>
      </w:tr>
    </w:tbl>
    <w:p>
      <w:pPr>
        <w:spacing w:after="120"/>
      </w:pPr>
    </w:p>
    <w:p>
      <w:pPr>
        <w:pStyle w:val="Heading1"/>
      </w:pPr>
      <w:r>
        <w:rPr>
          <w:b/>
        </w:rPr>
        <w:t xml:space="preserve">1. DATE GENERALE SI LOCALIZAREA PROIECTULUI</w:t>
      </w:r>
    </w:p>
    <w:p>
      <w:pPr>
        <w:pStyle w:val="Heading2"/>
      </w:pPr>
      <w:r>
        <w:rPr>
          <w:b/>
        </w:rPr>
        <w:t xml:space="preserve">1.1. Obiectivul proiectului</w:t>
      </w:r>
    </w:p>
    <w:p>
      <w:pPr>
        <w:pStyle w:val="Normal"/>
        <w:jc w:val="both"/>
      </w:pPr>
      <w:r>
        <w:rPr/>
        <w:t xml:space="preserve">Pentru imobilul situat in Intravilan, Loc. Vâlcele, Jud. Cluj, Com. Feleacu, beneficiarul doreste, prin intermediul prezentei documentatii, autorizarea lucrarilor pentru obiectivul "Construire Casa Unifamiliala P+M, Imprejmuire Teren, Racorduri si Bransamente". Lucrarile vizeaza edificarea unui imobil nou cu destinatia de locuinta unifamiliala, in regim de inaltime P+M, cu respectarea conditiilor impuse prin Certificatul de Urbanism nr. 54560/2026 din 03-06-2026 emis de catre Consiliul Judetean Cluj si a reglementarilor urbanistice aplicabile.</w:t>
      </w:r>
    </w:p>
    <w:p>
      <w:pPr>
        <w:pStyle w:val="Heading2"/>
      </w:pPr>
      <w:r>
        <w:rPr>
          <w:b/>
        </w:rPr>
        <w:t xml:space="preserve">1.2. Beneficiarul investitiei</w:t>
      </w:r>
    </w:p>
    <w:p>
      <w:pPr>
        <w:pStyle w:val="Normal"/>
        <w:jc w:val="both"/>
      </w:pPr>
      <w:r>
        <w:rPr/>
        <w:t xml:space="preserve">Beneficiar: Moldovan Liviu</w:t>
      </w:r>
    </w:p>
    <w:p>
      <w:pPr>
        <w:pStyle w:val="Normal"/>
        <w:jc w:val="both"/>
      </w:pPr>
      <w:r>
        <w:rPr/>
        <w:t xml:space="preserve">Adresa beneficiar: Com. Feleacu, Sat. Valcele   CF 63141. Jud. Cluj</w:t>
      </w:r>
    </w:p>
    <w:p>
      <w:pPr>
        <w:pStyle w:val="Normal"/>
        <w:jc w:val="both"/>
      </w:pPr>
      <w:r>
        <w:rPr/>
        <w:t xml:space="preserve">Date contact: 0731846966</w:t>
      </w:r>
    </w:p>
    <w:p>
      <w:pPr>
        <w:pStyle w:val="Heading1"/>
      </w:pPr>
      <w:r>
        <w:rPr>
          <w:b/>
        </w:rPr>
        <w:t xml:space="preserve">2. REGIMUL TERENULUI</w:t>
      </w:r>
    </w:p>
    <w:p>
      <w:pPr>
        <w:pStyle w:val="Heading2"/>
      </w:pPr>
      <w:r>
        <w:rPr>
          <w:b/>
        </w:rPr>
        <w:t xml:space="preserve">2.1. Regimul juridic</w:t>
      </w:r>
    </w:p>
    <w:p>
      <w:pPr>
        <w:pStyle w:val="Normal"/>
        <w:jc w:val="both"/>
      </w:pPr>
      <w:r>
        <w:rPr/>
        <w:t xml:space="preserve">Imobilul este identificat prin CF Nr: 63141, are suprafata de 1175.00 mp, iar regimul de amplasare declarat este: da. Dreptul asupra imobilului, sarcinile si eventualele servituti se verifica exclusiv pe baza extrasului de carte funciara valabil si a certificatului de urbanism.</w:t>
      </w:r>
    </w:p>
    <w:p>
      <w:pPr>
        <w:pStyle w:val="Heading2"/>
      </w:pPr>
      <w:r>
        <w:rPr>
          <w:b/>
        </w:rPr>
        <w:t xml:space="preserve">2.2. Regimul economic</w:t>
      </w:r>
    </w:p>
    <w:p>
      <w:pPr>
        <w:pStyle w:val="BodyText"/>
        <w:jc w:val="both"/>
      </w:pPr>
      <w:r>
        <w:rPr/>
        <w:t xml:space="preserve">Folosinta actuala teren: arabil</w:t>
      </w:r>
    </w:p>
    <w:p>
      <w:pPr>
        <w:pStyle w:val="BodyText"/>
        <w:jc w:val="both"/>
      </w:pPr>
      <w:r>
        <w:rPr/>
        <w:t xml:space="preserve">Destinatia terenului: rezidential - LM - Zona rezidențială cu clădiri P, P+1 (zone LMPRa si LMPRb)</w:t>
      </w:r>
    </w:p>
    <w:p>
      <w:pPr>
        <w:pStyle w:val="BodyText"/>
        <w:jc w:val="both"/>
      </w:pPr>
      <w:r>
        <w:rPr/>
        <w:t xml:space="preserve">Reglementari urbanistice: reglementari urbanistice necompletate</w:t>
      </w:r>
    </w:p>
    <w:p>
      <w:pPr>
        <w:pStyle w:val="Heading2"/>
      </w:pPr>
      <w:r>
        <w:rPr>
          <w:b/>
        </w:rPr>
        <w:t xml:space="preserve">2.3. Incadrarea in localitate si in zona</w:t>
      </w:r>
    </w:p>
    <w:p>
      <w:pPr>
        <w:pStyle w:val="Normal"/>
        <w:jc w:val="both"/>
      </w:pPr>
      <w:r>
        <w:rPr/>
        <w:t xml:space="preserve">Amplasamentul este situat in Intravilan, Loc. Vâlcele, Jud. Cluj, Com. Feleacu, intr-o zona reglementata prin documentatiile de urbanism aplicabile. Accesul si relatia cu vecinatatile se vor realiza cu respectarea certificatului de urbanism si a planului de situatie.</w:t>
      </w:r>
    </w:p>
    <w:p>
      <w:pPr>
        <w:pStyle w:val="Heading1"/>
      </w:pPr>
      <w:r>
        <w:rPr>
          <w:b/>
        </w:rPr>
        <w:t xml:space="preserve">3. CARACTERISTICILE AMPLASAMENTULUI</w:t>
      </w:r>
    </w:p>
    <w:p>
      <w:pPr>
        <w:pStyle w:val="Heading2"/>
      </w:pPr>
      <w:r>
        <w:rPr>
          <w:b/>
        </w:rPr>
        <w:t xml:space="preserve">3.1. Descrierea terenului</w:t>
      </w:r>
    </w:p>
    <w:p>
      <w:pPr>
        <w:pStyle w:val="Normal"/>
        <w:jc w:val="both"/>
      </w:pPr>
      <w:r>
        <w:rPr/>
        <w:t xml:space="preserve">Terenul are suprafata de 1175.00 mp, folosinta actuala arabil si este destinat realizarii obiectivului propus. Caracteristicile exacte ale terenului de fundare se vor trata prin studiul geotehnic si proiectul de rezistenta.</w:t>
      </w:r>
    </w:p>
    <w:p>
      <w:pPr>
        <w:pStyle w:val="Heading2"/>
      </w:pPr>
      <w:r>
        <w:rPr>
          <w:b/>
        </w:rPr>
        <w:t xml:space="preserve">3.2. Clima, relief, geologie si seismicitate</w:t>
      </w:r>
    </w:p>
    <w:p>
      <w:pPr>
        <w:pStyle w:val="Normal"/>
        <w:jc w:val="both"/>
      </w:pPr>
      <w:r>
        <w:rPr/>
        <w:t xml:space="preserve">Clima, relieful si caracteristicile geologice se stabilesc in raport cu amplasamentul concret al investitiei, pe baza datelor climatologice regionale, a studiului geotehnic si a reglementarilor tehnice aplicabile. In lipsa unei surse locale certe, valorile nu se completeaza prin presupuneri.</w:t>
      </w:r>
    </w:p>
    <w:p>
      <w:pPr>
        <w:pStyle w:val="Normal"/>
        <w:jc w:val="both"/>
      </w:pPr>
      <w:r>
        <w:rPr/>
        <w:t xml:space="preserve">Stratificatia terenului, nivelul apei freatice, adancimea de fundare, presiunile conventionale de calcul si parametrii seismici se preiau exclusiv din studiile de specialitate si din proiectul de rezistenta.</w:t>
      </w:r>
    </w:p>
    <w:p>
      <w:pPr>
        <w:pStyle w:val="Normal"/>
        <w:jc w:val="both"/>
      </w:pPr>
      <w:r>
        <w:rPr/>
        <w:t xml:space="preserve">Datele geotehnice de mai jos sunt preluate din studiul geotehnic incarcat si se utilizeaza impreuna cu proiectul de rezistenta: Stratigrafie: S1F: sol vegetal 0-0.30m, argilă nisipoasă vârtoasă 0.30-1.90m, nisip argilos vârtos 1.90-3.50m, nisip argilos tare 3.50-6.00m; S2F: sol vegetal 0-0.30m, argilă nisipoasă vârtoasă 0.30-1.50m, nisip argilos vârtos 1.50-3.00m, nisip argilos tare 3.00-4.00m. Nivelul apei freatice: apa subterană nu apare în sonde, infiltratii sezoniere posibile, regim nepermanent. Fundare: adâncime de fundare minimă recomandată -1,00 m de la CTE. Presiune / parametri de calcul: presiune convențională de bază p convb = 275 kPa. Categoria geotehnica: Categoria geotehnică 1, risc geotehnic redus. Riscul geotehnic: zona stabilă tectonic, risc seismic grad VI, zonă seismică pasivă, risc de alunecări ridicat pentru alunecări reactivate. Parametrii seismici: zona intensitate seismică 6 (scala MSK), zona calcul seismic F, ag=0.10g. Recomandari: recepția terenului de fundare obligatorie înainte de turnarea betonului; lucrări de terasamente cu diferențe &gt;1 m doar pe proiect de specialitate; săpături adânci sprijinite; materialul excavat nu este recomandat pentru umpluturi fără tratare; centură de tasare recomandată; racorduri rețele elastică; drenaj specific.</w:t>
      </w:r>
    </w:p>
    <w:p>
      <w:pPr>
        <w:pStyle w:val="Normal"/>
        <w:jc w:val="both"/>
      </w:pPr>
      <w:r>
        <w:rPr/>
        <w:t xml:space="preserve">Solutia de fundare, cotele de fundare si modul de executie se definitiveaza si se verifica prin proiectul tehnic, detaliile de executie si documentele de specialitate aplicabile obiectivului.</w:t>
      </w:r>
    </w:p>
    <w:p>
      <w:pPr>
        <w:pStyle w:val="Heading2"/>
      </w:pPr>
      <w:r>
        <w:rPr>
          <w:b/>
        </w:rPr>
        <w:t xml:space="preserve">3.3. Relatii cu vecinatatile si conditii de amplasare</w:t>
      </w:r>
    </w:p>
    <w:p>
      <w:pPr>
        <w:pStyle w:val="Normal"/>
        <w:jc w:val="both"/>
      </w:pPr>
      <w:r>
        <w:rPr/>
        <w:t xml:space="preserve">A fost obtinut Certificatul de Urbanism nr. 54560/2026 din 03-06-2026 emis de catre Consiliul Judetean Cluj. Conditiile de amplasare se verifica prin raportare la planul de situatie si la documentatia urbanistica aplicabila. Retragerile de mai jos se folosesc numai dupa verificarea cotelor pe plansa avizata.</w:t>
      </w:r>
    </w:p>
    <w:p>
      <w:pPr>
        <w:pStyle w:val="Normal"/>
        <w:jc w:val="both"/>
      </w:pPr>
      <w:r>
        <w:rPr/>
        <w:t xml:space="preserve">Acces teren: latura de nord (Drum Satesc)</w:t>
      </w:r>
    </w:p>
    <w:p>
      <w:pPr>
        <w:pStyle w:val="ListParagraph"/>
        <w:numPr>
          <w:ilvl w:val="0"/>
          <w:numId w:val="1"/>
        </w:numPr>
        <w:jc w:val="both"/>
      </w:pPr>
      <w:r>
        <w:t xml:space="preserve">Retragerile fata de aliniament si vecini</w:t>
      </w:r>
    </w:p>
    <w:p>
      <w:pPr>
        <w:pStyle w:val="Normal"/>
        <w:jc w:val="both"/>
      </w:pPr>
      <w:r>
        <w:rPr/>
        <w:t xml:space="preserve">Retragere fata de limita de proprietate nord: 9 m (vecin: Drum Satesc).</w:t>
      </w:r>
    </w:p>
    <w:p>
      <w:pPr>
        <w:pStyle w:val="Normal"/>
        <w:jc w:val="both"/>
      </w:pPr>
      <w:r>
        <w:rPr/>
        <w:t xml:space="preserve">Retragere fata de limita de proprietate est: 2 m (vecin: Nr. Cad.: 63321).</w:t>
      </w:r>
    </w:p>
    <w:p>
      <w:pPr>
        <w:pStyle w:val="Normal"/>
        <w:jc w:val="both"/>
      </w:pPr>
      <w:r>
        <w:rPr/>
        <w:t xml:space="preserve">Cote teren / plan topografic: 609.89, 609.62, 609.42, 608.84</w:t>
      </w:r>
    </w:p>
    <w:p>
      <w:pPr>
        <w:pStyle w:val="Heading1"/>
      </w:pPr>
      <w:r>
        <w:rPr>
          <w:b/>
        </w:rPr>
        <w:t xml:space="preserve">4. INDICATORI SI ECHIPARE EDILITARA</w:t>
      </w:r>
    </w:p>
    <w:p>
      <w:pPr>
        <w:pStyle w:val="Heading2"/>
      </w:pPr>
      <w:r>
        <w:rPr>
          <w:b/>
        </w:rPr>
        <w:t xml:space="preserve">4.1. Bilantul teritorial si componenta imobilelor</w:t>
      </w:r>
    </w:p>
    <w:p>
      <w:pPr>
        <w:pStyle w:val="ListParagraph"/>
        <w:numPr>
          <w:ilvl w:val="0"/>
          <w:numId w:val="1"/>
        </w:numPr>
        <w:jc w:val="both"/>
      </w:pPr>
      <w:r>
        <w:t xml:space="preserve">Suprafata terenului: 1175.00 mp</w:t>
      </w:r>
    </w:p>
    <w:p>
      <w:pPr>
        <w:pStyle w:val="ListParagraph"/>
        <w:numPr>
          <w:ilvl w:val="0"/>
          <w:numId w:val="1"/>
        </w:numPr>
        <w:jc w:val="both"/>
      </w:pPr>
      <w:r>
        <w:t xml:space="preserve">Suprafata construita propusa: 80.00 mp</w:t>
      </w:r>
    </w:p>
    <w:p>
      <w:pPr>
        <w:pStyle w:val="ListParagraph"/>
        <w:numPr>
          <w:ilvl w:val="0"/>
          <w:numId w:val="1"/>
        </w:numPr>
        <w:jc w:val="both"/>
      </w:pPr>
      <w:r>
        <w:t xml:space="preserve">Suprafata construita desfasurata propusa: 160.00 mp</w:t>
      </w:r>
    </w:p>
    <w:p>
      <w:pPr>
        <w:pStyle w:val="ListParagraph"/>
        <w:numPr>
          <w:ilvl w:val="0"/>
          <w:numId w:val="1"/>
        </w:numPr>
        <w:jc w:val="both"/>
      </w:pPr>
      <w:r>
        <w:t xml:space="preserve">Suprafata utila calculata: 67.80 mp</w:t>
      </w:r>
    </w:p>
    <w:p>
      <w:pPr>
        <w:pStyle w:val="ListParagraph"/>
        <w:numPr>
          <w:ilvl w:val="0"/>
          <w:numId w:val="1"/>
        </w:numPr>
        <w:jc w:val="both"/>
      </w:pPr>
      <w:r>
        <w:t xml:space="preserve">Procent de ocupare a terenului (POT) propus: 6.81%</w:t>
      </w:r>
    </w:p>
    <w:p>
      <w:pPr>
        <w:pStyle w:val="ListParagraph"/>
        <w:numPr>
          <w:ilvl w:val="0"/>
          <w:numId w:val="1"/>
        </w:numPr>
        <w:jc w:val="both"/>
      </w:pPr>
      <w:r>
        <w:t xml:space="preserve">Coeficient de utilizare a terenului (CUT) propus: 0.14</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1560"/>
        <w:gridCol w:w="1560"/>
        <w:gridCol w:w="1560"/>
        <w:gridCol w:w="1560"/>
        <w:gridCol w:w="1560"/>
        <w:gridCol w:w="1560"/>
      </w:tblGrid>
      <w:tr>
        <w:tc>
          <w:tcPr>
            <w:tcW w:w="9360" w:type="dxa"/>
            <w:gridSpan w:val="6"/>
            <w:shd w:fill="2E74B5"/>
          </w:tcPr>
          <w:p>
            <w:pPr>
              <w:pStyle w:val="TableText"/>
            </w:pPr>
            <w:r>
              <w:rPr>
                <w:b/>
                <w:color w:val="FFFFFF"/>
              </w:rPr>
              <w:t xml:space="preserve">Componenta imobilului - locuinta unifamiliala P+M</w:t>
            </w:r>
          </w:p>
        </w:tc>
      </w:tr>
      <w:tr>
        <w:tc>
          <w:tcPr>
            <w:tcW w:w="1560" w:type="dxa"/>
            <w:shd w:fill="F2F4F7"/>
          </w:tcPr>
          <w:p>
            <w:pPr>
              <w:pStyle w:val="TableText"/>
            </w:pPr>
            <w:r>
              <w:rPr>
                <w:b/>
              </w:rPr>
              <w:t xml:space="preserve">Nivel</w:t>
            </w:r>
          </w:p>
        </w:tc>
        <w:tc>
          <w:tcPr>
            <w:tcW w:w="1560" w:type="dxa"/>
            <w:shd w:fill="F2F4F7"/>
          </w:tcPr>
          <w:p>
            <w:pPr>
              <w:pStyle w:val="TableText"/>
            </w:pPr>
            <w:r>
              <w:rPr>
                <w:b/>
              </w:rPr>
              <w:t xml:space="preserve">Cod</w:t>
            </w:r>
          </w:p>
        </w:tc>
        <w:tc>
          <w:tcPr>
            <w:tcW w:w="3120" w:type="dxa"/>
            <w:gridSpan w:val="2"/>
            <w:shd w:fill="F2F4F7"/>
          </w:tcPr>
          <w:p>
            <w:pPr>
              <w:pStyle w:val="TableText"/>
            </w:pPr>
            <w:r>
              <w:rPr>
                <w:b/>
              </w:rPr>
              <w:t xml:space="preserve">Denumire spatiu</w:t>
            </w:r>
          </w:p>
        </w:tc>
        <w:tc>
          <w:tcPr>
            <w:tcW w:w="1560" w:type="dxa"/>
            <w:shd w:fill="F2F4F7"/>
          </w:tcPr>
          <w:p>
            <w:pPr>
              <w:pStyle w:val="TableText"/>
            </w:pPr>
            <w:r>
              <w:rPr>
                <w:b/>
              </w:rPr>
              <w:t xml:space="preserve">Pardoseala</w:t>
            </w:r>
          </w:p>
        </w:tc>
        <w:tc>
          <w:tcPr>
            <w:tcW w:w="1560" w:type="dxa"/>
            <w:shd w:fill="F2F4F7"/>
          </w:tcPr>
          <w:p>
            <w:pPr>
              <w:pStyle w:val="TableText"/>
            </w:pPr>
            <w:r>
              <w:rPr>
                <w:b/>
              </w:rPr>
              <w:t xml:space="preserve">Suprafata utila</w:t>
            </w:r>
          </w:p>
        </w:tc>
      </w:tr>
      <w:tr>
        <w:tc>
          <w:tcPr>
            <w:tcW w:w="1560" w:type="dxa"/>
          </w:tcPr>
          <w:p>
            <w:pPr>
              <w:pStyle w:val="TableText"/>
            </w:pPr>
            <w:r>
              <w:rPr/>
              <w:t xml:space="preserve">P</w:t>
            </w:r>
          </w:p>
        </w:tc>
        <w:tc>
          <w:tcPr>
            <w:tcW w:w="1560" w:type="dxa"/>
          </w:tcPr>
          <w:p>
            <w:pPr>
              <w:pStyle w:val="TableText"/>
            </w:pPr>
            <w:r>
              <w:rPr/>
              <w:t xml:space="preserve">P.01</w:t>
            </w:r>
          </w:p>
        </w:tc>
        <w:tc>
          <w:tcPr>
            <w:tcW w:w="3120" w:type="dxa"/>
            <w:gridSpan w:val="2"/>
          </w:tcPr>
          <w:p>
            <w:pPr>
              <w:pStyle w:val="TableText"/>
            </w:pPr>
            <w:r>
              <w:rPr/>
              <w:t xml:space="preserve">Dormitor Oaspeti</w:t>
            </w:r>
          </w:p>
        </w:tc>
        <w:tc>
          <w:tcPr>
            <w:tcW w:w="1560" w:type="dxa"/>
          </w:tcPr>
          <w:p>
            <w:pPr>
              <w:pStyle w:val="TableText"/>
            </w:pPr>
            <w:r>
              <w:rPr/>
              <w:t xml:space="preserve">parchet</w:t>
            </w:r>
          </w:p>
        </w:tc>
        <w:tc>
          <w:tcPr>
            <w:tcW w:w="1560" w:type="dxa"/>
          </w:tcPr>
          <w:p>
            <w:pPr>
              <w:pStyle w:val="TableText"/>
            </w:pPr>
            <w:r>
              <w:rPr/>
              <w:t xml:space="preserve">11.90 mp</w:t>
            </w:r>
          </w:p>
        </w:tc>
      </w:tr>
      <w:tr>
        <w:tc>
          <w:tcPr>
            <w:tcW w:w="1560" w:type="dxa"/>
          </w:tcPr>
          <w:p>
            <w:pPr>
              <w:pStyle w:val="TableText"/>
            </w:pPr>
            <w:r>
              <w:rPr/>
              <w:t xml:space="preserve">P</w:t>
            </w:r>
          </w:p>
        </w:tc>
        <w:tc>
          <w:tcPr>
            <w:tcW w:w="1560" w:type="dxa"/>
          </w:tcPr>
          <w:p>
            <w:pPr>
              <w:pStyle w:val="TableText"/>
            </w:pPr>
            <w:r>
              <w:rPr/>
              <w:t xml:space="preserve">P.02</w:t>
            </w:r>
          </w:p>
        </w:tc>
        <w:tc>
          <w:tcPr>
            <w:tcW w:w="3120" w:type="dxa"/>
            <w:gridSpan w:val="2"/>
          </w:tcPr>
          <w:p>
            <w:pPr>
              <w:pStyle w:val="TableText"/>
            </w:pPr>
            <w:r>
              <w:rPr/>
              <w:t xml:space="preserve">Living + Bucatarie</w:t>
            </w:r>
          </w:p>
        </w:tc>
        <w:tc>
          <w:tcPr>
            <w:tcW w:w="1560" w:type="dxa"/>
          </w:tcPr>
          <w:p>
            <w:pPr>
              <w:pStyle w:val="TableText"/>
            </w:pPr>
            <w:r>
              <w:rPr/>
              <w:t xml:space="preserve">parchet</w:t>
            </w:r>
          </w:p>
        </w:tc>
        <w:tc>
          <w:tcPr>
            <w:tcW w:w="1560" w:type="dxa"/>
          </w:tcPr>
          <w:p>
            <w:pPr>
              <w:pStyle w:val="TableText"/>
            </w:pPr>
            <w:r>
              <w:rPr/>
              <w:t xml:space="preserve">31.26 mp</w:t>
            </w:r>
          </w:p>
        </w:tc>
      </w:tr>
      <w:tr>
        <w:tc>
          <w:tcPr>
            <w:tcW w:w="1560" w:type="dxa"/>
          </w:tcPr>
          <w:p>
            <w:pPr>
              <w:pStyle w:val="TableText"/>
            </w:pPr>
            <w:r>
              <w:rPr/>
              <w:t xml:space="preserve">P</w:t>
            </w:r>
          </w:p>
        </w:tc>
        <w:tc>
          <w:tcPr>
            <w:tcW w:w="1560" w:type="dxa"/>
          </w:tcPr>
          <w:p>
            <w:pPr>
              <w:pStyle w:val="TableText"/>
            </w:pPr>
            <w:r>
              <w:rPr/>
              <w:t xml:space="preserve">P.03</w:t>
            </w:r>
          </w:p>
        </w:tc>
        <w:tc>
          <w:tcPr>
            <w:tcW w:w="3120" w:type="dxa"/>
            <w:gridSpan w:val="2"/>
          </w:tcPr>
          <w:p>
            <w:pPr>
              <w:pStyle w:val="TableText"/>
            </w:pPr>
            <w:r>
              <w:rPr/>
              <w:t xml:space="preserve">Baie de serviciu</w:t>
            </w:r>
          </w:p>
        </w:tc>
        <w:tc>
          <w:tcPr>
            <w:tcW w:w="1560" w:type="dxa"/>
          </w:tcPr>
          <w:p>
            <w:pPr>
              <w:pStyle w:val="TableText"/>
            </w:pPr>
            <w:r>
              <w:rPr/>
              <w:t xml:space="preserve">gresie</w:t>
            </w:r>
          </w:p>
        </w:tc>
        <w:tc>
          <w:tcPr>
            <w:tcW w:w="1560" w:type="dxa"/>
          </w:tcPr>
          <w:p>
            <w:pPr>
              <w:pStyle w:val="TableText"/>
            </w:pPr>
            <w:r>
              <w:rPr/>
              <w:t xml:space="preserve">5.33 mp</w:t>
            </w:r>
          </w:p>
        </w:tc>
      </w:tr>
      <w:tr>
        <w:tc>
          <w:tcPr>
            <w:tcW w:w="1560" w:type="dxa"/>
          </w:tcPr>
          <w:p>
            <w:pPr>
              <w:pStyle w:val="TableText"/>
            </w:pPr>
            <w:r>
              <w:rPr/>
              <w:t xml:space="preserve">P</w:t>
            </w:r>
          </w:p>
        </w:tc>
        <w:tc>
          <w:tcPr>
            <w:tcW w:w="1560" w:type="dxa"/>
          </w:tcPr>
          <w:p>
            <w:pPr>
              <w:pStyle w:val="TableText"/>
            </w:pPr>
            <w:r>
              <w:rPr/>
              <w:t xml:space="preserve">P.04</w:t>
            </w:r>
          </w:p>
        </w:tc>
        <w:tc>
          <w:tcPr>
            <w:tcW w:w="3120" w:type="dxa"/>
            <w:gridSpan w:val="2"/>
          </w:tcPr>
          <w:p>
            <w:pPr>
              <w:pStyle w:val="TableText"/>
            </w:pPr>
            <w:r>
              <w:rPr/>
              <w:t xml:space="preserve">Hol Acces Casa Scarii</w:t>
            </w:r>
          </w:p>
        </w:tc>
        <w:tc>
          <w:tcPr>
            <w:tcW w:w="1560" w:type="dxa"/>
          </w:tcPr>
          <w:p>
            <w:pPr>
              <w:pStyle w:val="TableText"/>
            </w:pPr>
            <w:r>
              <w:rPr/>
              <w:t xml:space="preserve">gresie</w:t>
            </w:r>
          </w:p>
        </w:tc>
        <w:tc>
          <w:tcPr>
            <w:tcW w:w="1560" w:type="dxa"/>
          </w:tcPr>
          <w:p>
            <w:pPr>
              <w:pStyle w:val="TableText"/>
            </w:pPr>
            <w:r>
              <w:rPr/>
              <w:t xml:space="preserve">11.01 mp</w:t>
            </w:r>
          </w:p>
        </w:tc>
      </w:tr>
      <w:tr>
        <w:tc>
          <w:tcPr>
            <w:tcW w:w="1560" w:type="dxa"/>
          </w:tcPr>
          <w:p>
            <w:pPr>
              <w:pStyle w:val="TableText"/>
            </w:pPr>
            <w:r>
              <w:rPr/>
              <w:t xml:space="preserve">P</w:t>
            </w:r>
          </w:p>
        </w:tc>
        <w:tc>
          <w:tcPr>
            <w:tcW w:w="1560" w:type="dxa"/>
          </w:tcPr>
          <w:p>
            <w:pPr>
              <w:pStyle w:val="TableText"/>
            </w:pPr>
            <w:r>
              <w:rPr/>
              <w:t xml:space="preserve">P.05</w:t>
            </w:r>
          </w:p>
        </w:tc>
        <w:tc>
          <w:tcPr>
            <w:tcW w:w="3120" w:type="dxa"/>
            <w:gridSpan w:val="2"/>
          </w:tcPr>
          <w:p>
            <w:pPr>
              <w:pStyle w:val="TableText"/>
            </w:pPr>
            <w:r>
              <w:rPr/>
              <w:t xml:space="preserve">Camera Technica</w:t>
            </w:r>
          </w:p>
        </w:tc>
        <w:tc>
          <w:tcPr>
            <w:tcW w:w="1560" w:type="dxa"/>
          </w:tcPr>
          <w:p>
            <w:pPr>
              <w:pStyle w:val="TableText"/>
            </w:pPr>
            <w:r>
              <w:rPr/>
              <w:t xml:space="preserve">gresie</w:t>
            </w:r>
          </w:p>
        </w:tc>
        <w:tc>
          <w:tcPr>
            <w:tcW w:w="1560" w:type="dxa"/>
          </w:tcPr>
          <w:p>
            <w:pPr>
              <w:pStyle w:val="TableText"/>
            </w:pPr>
            <w:r>
              <w:rPr/>
              <w:t xml:space="preserve">5.50 mp</w:t>
            </w:r>
          </w:p>
        </w:tc>
      </w:tr>
      <w:tr>
        <w:tc>
          <w:tcPr>
            <w:tcW w:w="1560" w:type="dxa"/>
          </w:tcPr>
          <w:p>
            <w:pPr>
              <w:pStyle w:val="TableText"/>
            </w:pPr>
            <w:r>
              <w:rPr/>
              <w:t xml:space="preserve">P</w:t>
            </w:r>
          </w:p>
        </w:tc>
        <w:tc>
          <w:tcPr>
            <w:tcW w:w="1560" w:type="dxa"/>
          </w:tcPr>
          <w:p>
            <w:pPr>
              <w:pStyle w:val="TableText"/>
            </w:pPr>
            <w:r>
              <w:rPr/>
              <w:t xml:space="preserve">P.06</w:t>
            </w:r>
          </w:p>
        </w:tc>
        <w:tc>
          <w:tcPr>
            <w:tcW w:w="3120" w:type="dxa"/>
            <w:gridSpan w:val="2"/>
          </w:tcPr>
          <w:p>
            <w:pPr>
              <w:pStyle w:val="TableText"/>
            </w:pPr>
            <w:r>
              <w:rPr/>
              <w:t xml:space="preserve">Acces</w:t>
            </w:r>
          </w:p>
        </w:tc>
        <w:tc>
          <w:tcPr>
            <w:tcW w:w="1560" w:type="dxa"/>
          </w:tcPr>
          <w:p>
            <w:pPr>
              <w:pStyle w:val="TableText"/>
            </w:pPr>
            <w:r>
              <w:rPr/>
              <w:t xml:space="preserve">gresie antiderapanta</w:t>
            </w:r>
          </w:p>
        </w:tc>
        <w:tc>
          <w:tcPr>
            <w:tcW w:w="1560" w:type="dxa"/>
          </w:tcPr>
          <w:p>
            <w:pPr>
              <w:pStyle w:val="TableText"/>
            </w:pPr>
            <w:r>
              <w:rPr/>
              <w:t xml:space="preserve">2.80 mp</w:t>
            </w:r>
          </w:p>
        </w:tc>
      </w:tr>
      <w:tr>
        <w:tc>
          <w:tcPr>
            <w:tcW w:w="7800" w:type="dxa"/>
            <w:gridSpan w:val="5"/>
            <w:shd w:fill="F2F4F7"/>
          </w:tcPr>
          <w:p>
            <w:pPr>
              <w:pStyle w:val="TableText"/>
            </w:pPr>
            <w:r>
              <w:rPr>
                <w:b/>
              </w:rPr>
              <w:t xml:space="preserve">TOTAL SUPRAFATA UTILA</w:t>
            </w:r>
          </w:p>
        </w:tc>
        <w:tc>
          <w:tcPr>
            <w:tcW w:w="1560" w:type="dxa"/>
            <w:shd w:fill="F2F4F7"/>
          </w:tcPr>
          <w:p>
            <w:pPr>
              <w:pStyle w:val="TableText"/>
            </w:pPr>
            <w:r>
              <w:rPr>
                <w:b/>
              </w:rPr>
              <w:t xml:space="preserve">67.80 mp</w:t>
            </w:r>
          </w:p>
        </w:tc>
      </w:tr>
    </w:tbl>
    <w:p>
      <w:pPr>
        <w:spacing w:after="120"/>
      </w:pPr>
    </w:p>
    <w:p>
      <w:pPr>
        <w:pStyle w:val="Heading2"/>
      </w:pPr>
      <w:r>
        <w:rPr>
          <w:b/>
        </w:rPr>
        <w:t xml:space="preserve">4.2. Nivelul de echipare edilitara</w:t>
      </w:r>
    </w:p>
    <w:p>
      <w:pPr>
        <w:pStyle w:val="ListParagraph"/>
        <w:numPr>
          <w:ilvl w:val="0"/>
          <w:numId w:val="1"/>
        </w:numPr>
        <w:jc w:val="both"/>
      </w:pPr>
      <w:r>
        <w:t xml:space="preserve">Alimentare cu apa potabila: branșamente pe domeniul public al comunei</w:t>
      </w:r>
    </w:p>
    <w:p>
      <w:pPr>
        <w:pStyle w:val="ListParagraph"/>
        <w:numPr>
          <w:ilvl w:val="0"/>
          <w:numId w:val="1"/>
        </w:numPr>
        <w:jc w:val="both"/>
      </w:pPr>
      <w:r>
        <w:t xml:space="preserve">Colectare ape uzate - canalizare: branșamente pe domeniul public al comunei</w:t>
      </w:r>
    </w:p>
    <w:p>
      <w:pPr>
        <w:pStyle w:val="ListParagraph"/>
        <w:numPr>
          <w:ilvl w:val="0"/>
          <w:numId w:val="1"/>
        </w:numPr>
        <w:jc w:val="both"/>
      </w:pPr>
      <w:r>
        <w:t xml:space="preserve">Alimentare cu energie electrica: branșamente pe domeniul public al comunei</w:t>
      </w:r>
    </w:p>
    <w:p>
      <w:pPr>
        <w:pStyle w:val="ListParagraph"/>
        <w:numPr>
          <w:ilvl w:val="0"/>
          <w:numId w:val="1"/>
        </w:numPr>
        <w:jc w:val="both"/>
      </w:pPr>
      <w:r>
        <w:t xml:space="preserve">Alimentare cu gaze naturale: branșamente pe domeniul public al comunei</w:t>
      </w:r>
    </w:p>
    <w:p>
      <w:pPr>
        <w:pStyle w:val="ListParagraph"/>
        <w:numPr>
          <w:ilvl w:val="0"/>
          <w:numId w:val="1"/>
        </w:numPr>
        <w:jc w:val="both"/>
      </w:pPr>
      <w:r>
        <w:t xml:space="preserve">Colectare ape meteorice: Colectarea apelor pluviale se face din acoperisul casei printr-un sistem de jgheaburi si burlane amenajat conform proiectului; apele provenite de pe acoperis sunt colectate si dirijate catre rigole, iar apoi evacuate in reteaua de canalizare exterioara a imobilului; rigolele sunt dimensionate si pozitionate astfel incat sa asigure evacuarea in conditii optime a apei pluviale, prevenind acumularea acesteia in zonele de acces sau langa fundatii; evacuarea finala se directioneaza catre caminul de canalizare stradal si reteaua de canalizare existenta, cu respectarea pantelor minime prescrise in normele SR 1795-2025.</w:t>
      </w:r>
    </w:p>
    <w:p>
      <w:pPr>
        <w:pStyle w:val="ListParagraph"/>
        <w:numPr>
          <w:ilvl w:val="0"/>
          <w:numId w:val="1"/>
        </w:numPr>
        <w:jc w:val="both"/>
      </w:pPr>
      <w:r>
        <w:t xml:space="preserve">Deseuri menajere in exploatare: colectare integrata la nivel de comuna</w:t>
      </w:r>
    </w:p>
    <w:p>
      <w:pPr>
        <w:pStyle w:val="ListParagraph"/>
        <w:numPr>
          <w:ilvl w:val="0"/>
          <w:numId w:val="1"/>
        </w:numPr>
        <w:jc w:val="both"/>
      </w:pPr>
      <w:r>
        <w:t xml:space="preserve">Deseuri din constructii: contract transport deșeuri rezultate din construcții obligatoriu</w:t>
      </w:r>
    </w:p>
    <w:p>
      <w:pPr>
        <w:pStyle w:val="Heading2"/>
      </w:pPr>
      <w:r>
        <w:rPr>
          <w:b/>
        </w:rPr>
        <w:t xml:space="preserve">4.3. Conditii de executie si corelare</w:t>
      </w:r>
    </w:p>
    <w:p>
      <w:pPr>
        <w:pStyle w:val="Normal"/>
        <w:jc w:val="both"/>
      </w:pPr>
      <w:r>
        <w:rPr/>
        <w:t xml:space="preserve">Datele numerice si solutiile tehnice din prezentul memoriu se citesc impreuna cu plansele si proiectele de specialitate. In cazul unei diferente, prevaleaza cotele si specificatiile din piesele desenate aprobate, fara completarea prin presupuneri a datelor care nu apar in documentele sursa.</w:t>
      </w:r>
    </w:p>
    <w:p>
      <w:pPr>
        <w:pStyle w:val="Heading1"/>
      </w:pPr>
      <w:r>
        <w:rPr>
          <w:b/>
        </w:rPr>
        <w:t xml:space="preserve">5. OBSERVATII GENERALE</w:t>
      </w:r>
    </w:p>
    <w:p>
      <w:pPr>
        <w:pStyle w:val="Normal"/>
        <w:jc w:val="both"/>
      </w:pPr>
      <w:r>
        <w:rPr/>
        <w:t xml:space="preserve">Prezentul Memoriu General face parte integranta din documentatia elaborata pentru faza D.T.A.C. Executia lucrarilor se va realiza cu respectarea proiectului tehnic, a avizelor si a legislatiei in vigoare.</w:t>
      </w:r>
    </w:p>
    <w:p>
      <w:pPr>
        <w:pStyle w:val="Heading1"/>
      </w:pPr>
      <w:r>
        <w:rPr>
          <w:b/>
        </w:rPr>
        <w:t xml:space="preserve">6. LEGISLATIA SI REGLEMENTARILE APLICABILE</w:t>
      </w:r>
    </w:p>
    <w:p>
      <w:pPr>
        <w:pStyle w:val="Normal"/>
        <w:jc w:val="both"/>
      </w:pPr>
      <w:r>
        <w:rPr/>
        <w:t xml:space="preserve">Prezenta lista indica cadrul normativ de referinta pentru continutul acestui memoriu. Se utilizeaza forma in vigoare la data elaborarii, cu modificarile si completarile ulterioare, precum si conditiile din certificatul de urbanism, avizele si acordurile obtinute pentru obiectiv.</w:t>
      </w:r>
    </w:p>
    <w:p>
      <w:pPr>
        <w:pStyle w:val="ListParagraph"/>
        <w:numPr>
          <w:ilvl w:val="0"/>
          <w:numId w:val="1"/>
        </w:numPr>
        <w:jc w:val="both"/>
      </w:pPr>
      <w:r>
        <w:t xml:space="preserve">Legea nr. 50/1991 privind autorizarea executarii lucrarilor de constructii, republicata, cu modificarile si completarile ulterioare.</w:t>
      </w:r>
    </w:p>
    <w:p>
      <w:pPr>
        <w:pStyle w:val="ListParagraph"/>
        <w:numPr>
          <w:ilvl w:val="0"/>
          <w:numId w:val="1"/>
        </w:numPr>
        <w:jc w:val="both"/>
      </w:pPr>
      <w:r>
        <w:t xml:space="preserve">Ordinul nr. 839/2009 pentru aprobarea Normelor metodologice de aplicare a Legii nr. 50/1991, cu modificarile si completarile ulterioare.</w:t>
      </w:r>
    </w:p>
    <w:p>
      <w:pPr>
        <w:pStyle w:val="ListParagraph"/>
        <w:numPr>
          <w:ilvl w:val="0"/>
          <w:numId w:val="1"/>
        </w:numPr>
        <w:jc w:val="both"/>
      </w:pPr>
      <w:r>
        <w:t xml:space="preserve">Legea nr. 10/1995 privind calitatea in constructii, republicata, cu modificarile si completarile ulterioare.</w:t>
      </w:r>
    </w:p>
    <w:p>
      <w:pPr>
        <w:pStyle w:val="ListParagraph"/>
        <w:numPr>
          <w:ilvl w:val="0"/>
          <w:numId w:val="1"/>
        </w:numPr>
        <w:jc w:val="both"/>
      </w:pPr>
      <w:r>
        <w:t xml:space="preserve">Legea nr. 350/2001 privind amenajarea teritoriului si urbanismul, cu modificarile si completarile ulterioare.</w:t>
      </w:r>
    </w:p>
    <w:p>
      <w:pPr>
        <w:pStyle w:val="ListParagraph"/>
        <w:numPr>
          <w:ilvl w:val="0"/>
          <w:numId w:val="1"/>
        </w:numPr>
        <w:jc w:val="both"/>
      </w:pPr>
      <w:r>
        <w:t xml:space="preserve">Hotararea Guvernului nr. 907/2016 privind etapele de elaborare si continutul-cadru al documentatiilor tehnico-economice, numai daca este aplicabila categoriei si sursei de finantare a investitiei.</w:t>
      </w:r>
    </w:p>
    <w:p>
      <w:pPr>
        <w:pStyle w:val="ListParagraph"/>
        <w:numPr>
          <w:ilvl w:val="0"/>
          <w:numId w:val="1"/>
        </w:numPr>
        <w:jc w:val="both"/>
      </w:pPr>
      <w:r>
        <w:t xml:space="preserve">Reglementarile tehnice de specialitate aplicabile structurii, instalatiilor, eficientei energetice, securitatii la incendiu si cerintelor fundamentale, conform proiectelor si studiilor de specialitate.</w:t>
      </w:r>
    </w:p>
    <w:p>
      <w:pPr>
        <w:pStyle w:val="Heading1"/>
      </w:pPr>
      <w:r>
        <w:rPr>
          <w:b/>
        </w:rPr>
        <w:t xml:space="preserve">7. MENTIUNI PRIVIND FAZA DE PROIECTARE SI EXECUTIE</w:t>
      </w:r>
    </w:p>
    <w:p>
      <w:pPr>
        <w:pStyle w:val="Normal"/>
        <w:jc w:val="both"/>
      </w:pPr>
      <w:r>
        <w:rPr/>
        <w:t xml:space="preserve">Documentatia de fata este elaborata pentru faza DTAC - Documentatie tehnica pentru autorizarea executarii lucrarilor de construire - si are ca scop obtinerea autorizatiei de construire. Continutul ei se utilizeaza impreuna cu certificatul de urbanism, avizele, acordurile si celelalte documente care stau la baza autorizarii.</w:t>
      </w:r>
    </w:p>
    <w:p>
      <w:pPr>
        <w:pStyle w:val="Normal"/>
        <w:jc w:val="both"/>
      </w:pPr>
      <w:r>
        <w:rPr/>
        <w:t xml:space="preserve">Faza DTAC nu constituie documentatie completa pentru executia lucrarilor. Dupa obtinerea autorizatiei de construire, beneficiarul trebuie sa dispuna elaborarea proiectului tehnic de executie (P.Th.) si a detaliilor de executie (D.E.), dezvoltate in concordanta cu prezenta documentatie, cu autorizatia emisa, cu avizele si cu studiile de specialitate.</w:t>
      </w:r>
    </w:p>
    <w:p>
      <w:pPr>
        <w:pStyle w:val="Normal"/>
        <w:jc w:val="both"/>
      </w:pPr>
      <w:r>
        <w:rPr/>
        <w:t xml:space="preserve">Executarea lucrarilor se poate face numai pe baza proiectului tehnic de executie, inclusiv a detaliilor de executie, elaborate de proiectanti autorizati si verificate potrivit cerintelor fundamentale de calitate in constructii. Solutiile din DTAC nu se modifica in executie fara acordul proiectantilor si fara parcurgerea procedurii legale de autorizare sau reautorizare, dupa caz.</w:t>
      </w:r>
    </w:p>
    <w:p>
      <w:pPr>
        <w:pStyle w:val="Normal"/>
        <w:jc w:val="both"/>
      </w:pPr>
      <w:r>
        <w:rPr/>
        <w:t xml:space="preserve">Prezenta mentiune are caracter de informare privind faza documentatiei si nu inlocuieste responsabilitatile legale ale beneficiarului, proiectantilor, verificatorilor de proiect si executantului.</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4680"/>
        <w:gridCol w:w="4680"/>
      </w:tblGrid>
      <w:tr>
        <w:tc>
          <w:tcPr>
            <w:tcW w:w="4680" w:type="dxa"/>
            <w:shd w:fill="2E74B5"/>
          </w:tcPr>
          <w:p>
            <w:pPr>
              <w:pStyle w:val="TableText"/>
            </w:pPr>
            <w:r>
              <w:rPr>
                <w:b/>
                <w:color w:val="FFFFFF"/>
              </w:rPr>
              <w:t xml:space="preserve">Intocmit</w:t>
            </w:r>
          </w:p>
        </w:tc>
        <w:tc>
          <w:tcPr>
            <w:tcW w:w="4680" w:type="dxa"/>
            <w:shd w:fill="2E74B5"/>
          </w:tcPr>
          <w:p>
            <w:pPr>
              <w:pStyle w:val="TableText"/>
            </w:pPr>
            <w:r>
              <w:rPr>
                <w:b/>
                <w:color w:val="FFFFFF"/>
              </w:rPr>
              <w:t xml:space="preserve">Sef proiect,</w:t>
            </w:r>
          </w:p>
        </w:tc>
      </w:tr>
      <w:tr>
        <w:tc>
          <w:tcPr>
            <w:tcW w:w="4680" w:type="dxa"/>
          </w:tcPr>
          <w:p>
            <w:pPr>
              <w:pStyle w:val="TableText"/>
            </w:pPr>
            <w:r>
              <w:rPr/>
              <w:t xml:space="preserve">C. Arh. Panaitescu Alexandru</w:t>
            </w:r>
          </w:p>
        </w:tc>
        <w:tc>
          <w:tcPr>
            <w:tcW w:w="4680" w:type="dxa"/>
          </w:tcPr>
          <w:p>
            <w:pPr>
              <w:pStyle w:val="TableText"/>
            </w:pPr>
            <w:r>
              <w:rPr/>
              <w:t xml:space="preserve">C. Arh. Panaitescu Alexandru</w:t>
            </w:r>
          </w:p>
        </w:tc>
      </w:tr>
    </w:tbl>
    <w:p>
      <w:pPr>
        <w:spacing w:after="120"/>
      </w:pPr>
    </w:p>
    <w:sectPr>
      <w:footerReference w:type="default" r:id="rIdFooter"/>
      <w:pgSz w:w="11906" w:h="16838"/>
      <w:pgMar w:top="1273" w:right="1273" w:bottom="1273" w:left="1273" w:header="708" w:footer="708" w:gutter="0"/>
      <w:cols w:space="708"/>
      <w:docGrid w:linePitch="360"/>
    </w:sectPr>
  </w:body>
</w:document>
</file>

<file path=word/footer1.xml><?xml version="1.0" encoding="utf-8"?>
<w:ftr xmlns:w="http://schemas.openxmlformats.org/wordprocessingml/2006/main">
  <w:p>
    <w:pPr>
      <w:jc w:val="center"/>
    </w:pPr>
    <w:r>
      <w:rPr>
        <w:rFonts w:ascii="Calibri" w:hAnsi="Calibri"/>
        <w:color w:val="666666"/>
        <w:sz w:val="18"/>
      </w:rPr>
      <w:t xml:space="preserve">Proiect nr. 2/2026 - "Construire Casa Unifamiliala P+M, Imprejmuire Teren, Racorduri si Bransamente"</w:t>
    </w:r>
  </w:p>
  <w:p>
    <w:pPr>
      <w:jc w:val="center"/>
    </w:pPr>
    <w:r>
      <w:rPr>
        <w:rFonts w:ascii="Calibri" w:hAnsi="Calibri"/>
        <w:color w:val="666666"/>
        <w:sz w:val="18"/>
      </w:rPr>
      <w:t xml:space="preserve">Pagina </w:t>
    </w:r>
    <w:fldSimple w:instr="PAG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40" w:hanging="2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sz w:val="22"/>
        <w:szCs w:val="22"/>
        <w:lang w:val="ro-RO"/>
      </w:rPr>
    </w:rPrDefault>
  </w:docDefaults>
  <w:style w:type="paragraph" w:default="1" w:styleId="Normal">
    <w:name w:val="Normal"/>
    <w:qFormat/>
    <w:pPr>
      <w:spacing w:after="120" w:line="264" w:lineRule="auto"/>
      <w:jc w:val="both"/>
    </w:pPr>
    <w:rPr>
      <w:rFonts w:ascii="Calibri" w:hAnsi="Calibri"/>
      <w:sz w:val="22"/>
    </w:rPr>
  </w:style>
  <w:style w:type="paragraph" w:styleId="BodyText">
    <w:name w:val="Body Text"/>
    <w:basedOn w:val="Normal"/>
    <w:pPr>
      <w:spacing w:after="120"/>
    </w:pPr>
  </w:style>
  <w:style w:type="paragraph" w:styleId="Title">
    <w:name w:val="Title"/>
    <w:basedOn w:val="Normal"/>
    <w:pPr>
      <w:keepNext/>
      <w:spacing w:before="320" w:after="240"/>
      <w:jc w:val="center"/>
    </w:pPr>
    <w:rPr>
      <w:rFonts w:ascii="Calibri Light" w:hAnsi="Calibri Light"/>
      <w:b/>
      <w:color w:val="1F4D78"/>
      <w:sz w:val="42"/>
    </w:rPr>
  </w:style>
  <w:style w:type="paragraph" w:styleId="Subtitle">
    <w:name w:val="Subtitle"/>
    <w:basedOn w:val="Normal"/>
    <w:pPr>
      <w:keepNext/>
      <w:spacing w:after="220"/>
      <w:jc w:val="center"/>
    </w:pPr>
    <w:rPr>
      <w:rFonts w:ascii="Calibri" w:hAnsi="Calibri"/>
      <w:color w:val="44546A"/>
      <w:sz w:val="26"/>
    </w:rPr>
  </w:style>
  <w:style w:type="paragraph" w:styleId="Caption">
    <w:name w:val="Caption"/>
    <w:basedOn w:val="Normal"/>
    <w:pPr>
      <w:spacing w:before="180" w:after="80"/>
      <w:jc w:val="center"/>
    </w:pPr>
    <w:rPr>
      <w:i/>
      <w:color w:val="666666"/>
      <w:sz w:val="20"/>
    </w:rPr>
  </w:style>
  <w:style w:type="paragraph" w:styleId="Heading1">
    <w:name w:val="Heading 1"/>
    <w:basedOn w:val="Normal"/>
    <w:next w:val="Normal"/>
    <w:qFormat/>
    <w:pPr>
      <w:keepNext/>
      <w:spacing w:before="320" w:after="160"/>
      <w:outlineLvl w:val="0"/>
    </w:pPr>
    <w:rPr>
      <w:rFonts w:ascii="Calibri Light" w:hAnsi="Calibri Light"/>
      <w:b/>
      <w:color w:val="2E74B5"/>
      <w:sz w:val="32"/>
    </w:rPr>
  </w:style>
  <w:style w:type="paragraph" w:styleId="Heading2">
    <w:name w:val="Heading 2"/>
    <w:basedOn w:val="Normal"/>
    <w:next w:val="Normal"/>
    <w:qFormat/>
    <w:pPr>
      <w:keepNext/>
      <w:spacing w:before="240" w:after="120"/>
      <w:outlineLvl w:val="1"/>
    </w:pPr>
    <w:rPr>
      <w:rFonts w:ascii="Calibri" w:hAnsi="Calibri"/>
      <w:b/>
      <w:color w:val="2E74B5"/>
      <w:sz w:val="26"/>
    </w:rPr>
  </w:style>
  <w:style w:type="paragraph" w:styleId="Heading3">
    <w:name w:val="Heading 3"/>
    <w:basedOn w:val="Normal"/>
    <w:next w:val="Normal"/>
    <w:qFormat/>
    <w:pPr>
      <w:keepNext/>
      <w:spacing w:before="160" w:after="80"/>
      <w:outlineLvl w:val="2"/>
    </w:pPr>
    <w:rPr>
      <w:rFonts w:ascii="Calibri" w:hAnsi="Calibri"/>
      <w:b/>
      <w:color w:val="1F4D78"/>
      <w:sz w:val="24"/>
    </w:rPr>
  </w:style>
  <w:style w:type="paragraph" w:styleId="ListParagraph">
    <w:name w:val="List Paragraph"/>
    <w:basedOn w:val="Normal"/>
    <w:pPr>
      <w:spacing w:after="90"/>
      <w:ind w:left="540" w:hanging="260"/>
    </w:pPr>
    <w:rPr>
      <w:rFonts w:ascii="Calibri" w:hAnsi="Calibri"/>
      <w:sz w:val="22"/>
    </w:rPr>
  </w:style>
  <w:style w:type="paragraph" w:styleId="TableText">
    <w:name w:val="Table Text"/>
    <w:basedOn w:val="Normal"/>
    <w:pPr>
      <w:spacing w:after="0"/>
      <w:jc w:val="left"/>
    </w:pPr>
    <w:rPr>
      <w:rFonts w:ascii="Calibri" w:hAnsi="Calibri"/>
      <w:sz w:val="20"/>
    </w:rPr>
  </w:style>
</w:styles>
</file>

<file path=word/_rels/document.xml.rels><?xml version="1.0" encoding="UTF-8" standalone="yes"?><Relationships xmlns="http://schemas.openxmlformats.org/package/2006/relationships"><Relationship Id="rIdFooter" Type="http://schemas.openxmlformats.org/officeDocument/2006/relationships/footer" Target="footer1.xml"/><Relationship Id="rIdStyles" Type="http://schemas.openxmlformats.org/officeDocument/2006/relationships/styles" Target="styles.xml"/><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IDCasa Memorii</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Memoriu proiectare</dc:title>
  <dc:creator>IDCasa</dc:creator>
  <cp:lastModifiedBy>IDCasa</cp:lastModifiedBy>
  <dcterms:created xsi:type="dcterms:W3CDTF">2026-08-27T12:12:09Z</dcterms:created>
  <dcterms:modified xsi:type="dcterms:W3CDTF">2026-08-27T12:12:09Z</dcterms:modified>
</cp:coreProperties>
</file>